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napToGrid w:val="false"/>
        <w:spacing w:lineRule="auto" w:line="360"/>
        <w:jc w:val="center"/>
        <w:rPr>
          <w:rFonts w:ascii="宋体" w:cs="宋体" w:eastAsia="宋体" w:hAnsi="宋体"/>
          <w:b/>
          <w:color w:val="000000"/>
          <w:kern w:val="0"/>
          <w:sz w:val="36"/>
          <w:szCs w:val="36"/>
        </w:rPr>
      </w:pPr>
      <w:r>
        <w:rPr>
          <w:rFonts w:ascii="宋体" w:cs="宋体" w:eastAsia="宋体" w:hAnsi="宋体" w:hint="eastAsia"/>
          <w:b/>
          <w:color w:val="000000"/>
          <w:kern w:val="0"/>
          <w:sz w:val="36"/>
          <w:szCs w:val="36"/>
        </w:rPr>
        <w:t>202</w:t>
      </w:r>
      <w:r>
        <w:rPr>
          <w:rFonts w:ascii="宋体" w:cs="宋体" w:eastAsia="宋体" w:hAnsi="宋体" w:hint="default"/>
          <w:b/>
          <w:color w:val="000000"/>
          <w:kern w:val="0"/>
          <w:sz w:val="36"/>
          <w:szCs w:val="36"/>
          <w:lang w:val="en-US"/>
        </w:rPr>
        <w:t>1</w:t>
      </w:r>
      <w:r>
        <w:rPr>
          <w:rFonts w:ascii="宋体" w:cs="宋体" w:eastAsia="宋体" w:hAnsi="宋体" w:hint="eastAsia"/>
          <w:b/>
          <w:color w:val="000000"/>
          <w:kern w:val="0"/>
          <w:sz w:val="36"/>
          <w:szCs w:val="36"/>
        </w:rPr>
        <w:t>年秋季学期两校区迎新地点安排</w:t>
      </w:r>
    </w:p>
    <w:p>
      <w:pPr>
        <w:pStyle w:val="style0"/>
        <w:widowControl/>
        <w:snapToGrid w:val="false"/>
        <w:spacing w:lineRule="auto" w:line="360"/>
        <w:rPr>
          <w:rFonts w:ascii="黑体" w:cs="宋体" w:eastAsia="黑体" w:hAnsi="黑体" w:hint="eastAsia"/>
          <w:b/>
          <w:color w:val="000000"/>
          <w:kern w:val="0"/>
          <w:sz w:val="28"/>
          <w:szCs w:val="28"/>
        </w:rPr>
      </w:pPr>
    </w:p>
    <w:p>
      <w:pPr>
        <w:pStyle w:val="style0"/>
        <w:widowControl/>
        <w:adjustRightInd w:val="false"/>
        <w:snapToGrid w:val="false"/>
        <w:spacing w:lineRule="auto" w:line="360"/>
        <w:ind w:firstLine="562" w:firstLineChars="200"/>
        <w:rPr>
          <w:rFonts w:ascii="仿宋" w:cs="宋体" w:eastAsia="仿宋" w:hAnsi="仿宋" w:hint="eastAsia"/>
          <w:color w:val="000000"/>
          <w:kern w:val="0"/>
          <w:sz w:val="28"/>
          <w:szCs w:val="28"/>
        </w:rPr>
      </w:pPr>
      <w:r>
        <w:rPr>
          <w:rFonts w:ascii="黑体" w:cs="宋体" w:eastAsia="黑体" w:hAnsi="黑体" w:hint="eastAsia"/>
          <w:b/>
          <w:color w:val="000000"/>
          <w:kern w:val="0"/>
          <w:sz w:val="28"/>
          <w:szCs w:val="28"/>
        </w:rPr>
        <w:t>一、闵行校区迎新地点安排</w:t>
      </w:r>
    </w:p>
    <w:p>
      <w:pPr>
        <w:pStyle w:val="style0"/>
        <w:widowControl/>
        <w:snapToGrid w:val="false"/>
        <w:spacing w:lineRule="auto" w:line="360"/>
        <w:ind w:firstLine="562" w:firstLineChars="200"/>
        <w:rPr>
          <w:rFonts w:ascii="黑体" w:cs="宋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cs="宋体" w:eastAsia="黑体" w:hAnsi="黑体"/>
          <w:b/>
          <w:color w:val="000000"/>
          <w:kern w:val="0"/>
          <w:sz w:val="28"/>
          <w:szCs w:val="28"/>
        </w:rPr>
        <w:t>本科生</w:t>
      </w:r>
      <w:r>
        <w:rPr>
          <w:rFonts w:ascii="黑体" w:cs="宋体" w:eastAsia="黑体" w:hAnsi="黑体" w:hint="eastAsia"/>
          <w:b/>
          <w:color w:val="000000"/>
          <w:kern w:val="0"/>
          <w:sz w:val="28"/>
          <w:szCs w:val="28"/>
        </w:rPr>
        <w:t>：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大夏书院【中国语言文学系（汉语言文学专业、汉语言文学（强基）专业）、历史学系、哲学系（哲学专业，哲学（强基）专业）、政治学系、法学院、社会发展学院、外语学院、传播学院各专业</w:t>
      </w:r>
      <w:r>
        <w:rPr>
          <w:rFonts w:ascii="仿宋" w:cs="宋体" w:eastAsia="仿宋" w:hAnsi="仿宋" w:hint="eastAsia"/>
          <w:b/>
          <w:bCs/>
          <w:color w:val="000000"/>
          <w:kern w:val="0"/>
          <w:sz w:val="28"/>
          <w:szCs w:val="28"/>
        </w:rPr>
        <w:t>非师范生</w:t>
      </w: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】：学生发展空间三楼多功能厅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光华书院【数学科学学院、物理与电子科学学院（物理学类、物理学（强基）专业）、化学与分子工程学院、地理科学学院、城市与区域科学学院、生态与环境科学学院、生命科学学院各专业</w:t>
      </w:r>
      <w:r>
        <w:rPr>
          <w:rFonts w:ascii="仿宋" w:cs="宋体" w:eastAsia="仿宋" w:hAnsi="仿宋" w:hint="eastAsia"/>
          <w:b/>
          <w:bCs/>
          <w:color w:val="000000"/>
          <w:kern w:val="0"/>
          <w:sz w:val="28"/>
          <w:szCs w:val="28"/>
        </w:rPr>
        <w:t>非师范生</w:t>
      </w: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】：学生发展空间二楼报告厅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孟宪承书院【中国语言文学系、历史学系、外语学院、马克思主义学院、数学科学学院、物理与电子科学学院、化学与分子工程学院、地理科学学院、生命科学学院各专业</w:t>
      </w:r>
      <w:r>
        <w:rPr>
          <w:rFonts w:ascii="仿宋" w:cs="宋体" w:eastAsia="仿宋" w:hAnsi="仿宋" w:hint="eastAsia"/>
          <w:b/>
          <w:bCs/>
          <w:color w:val="000000"/>
          <w:kern w:val="0"/>
          <w:sz w:val="28"/>
          <w:szCs w:val="28"/>
        </w:rPr>
        <w:t>师范生、少数民族预科生</w:t>
      </w: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】：学生共享空间202室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经管书院：本科生公寓19号楼一楼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体育与健康学院：体育馆二楼大厅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音乐学院：音乐学院</w:t>
      </w:r>
      <w:r>
        <w:rPr>
          <w:rFonts w:ascii="仿宋" w:cs="宋体" w:eastAsia="仿宋" w:hAnsi="仿宋" w:hint="default"/>
          <w:color w:val="000000"/>
          <w:kern w:val="0"/>
          <w:sz w:val="28"/>
          <w:szCs w:val="28"/>
          <w:lang w:val="en-US"/>
        </w:rPr>
        <w:t>350</w:t>
      </w: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室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美术学院：美术学院一楼大厅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生命科学学院：生命科学学院一楼大厅（中医大本科新生）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通信</w:t>
      </w:r>
      <w:r>
        <w:rPr>
          <w:rFonts w:ascii="仿宋" w:cs="宋体" w:eastAsia="仿宋" w:hAnsi="仿宋"/>
          <w:color w:val="000000"/>
          <w:kern w:val="0"/>
          <w:sz w:val="28"/>
          <w:szCs w:val="28"/>
        </w:rPr>
        <w:t>与电子工程学院：</w:t>
      </w: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通信</w:t>
      </w:r>
      <w:r>
        <w:rPr>
          <w:rFonts w:ascii="仿宋" w:cs="宋体" w:eastAsia="仿宋" w:hAnsi="仿宋"/>
          <w:color w:val="000000"/>
          <w:kern w:val="0"/>
          <w:sz w:val="28"/>
          <w:szCs w:val="28"/>
        </w:rPr>
        <w:t>与电子工程学院</w:t>
      </w: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一楼</w:t>
      </w:r>
      <w:r>
        <w:rPr>
          <w:rFonts w:ascii="仿宋" w:cs="宋体" w:eastAsia="仿宋" w:hAnsi="仿宋"/>
          <w:color w:val="000000"/>
          <w:kern w:val="0"/>
          <w:sz w:val="28"/>
          <w:szCs w:val="28"/>
        </w:rPr>
        <w:t>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物理与电子科学学院（电子信息科学与技术专业）：物理楼二楼大厅</w:t>
      </w:r>
    </w:p>
    <w:bookmarkStart w:id="0" w:name="_GoBack"/>
    <w:bookmarkEnd w:id="0"/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 w:hint="eastAsia"/>
          <w:color w:val="000000"/>
          <w:kern w:val="0"/>
          <w:sz w:val="28"/>
          <w:szCs w:val="28"/>
        </w:rPr>
      </w:pPr>
    </w:p>
    <w:p>
      <w:pPr>
        <w:pStyle w:val="style0"/>
        <w:widowControl/>
        <w:snapToGrid w:val="false"/>
        <w:spacing w:lineRule="auto" w:line="360"/>
        <w:ind w:firstLine="562" w:firstLineChars="200"/>
        <w:rPr>
          <w:rFonts w:ascii="黑体" w:cs="宋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cs="宋体" w:eastAsia="黑体" w:hAnsi="黑体" w:hint="eastAsia"/>
          <w:b/>
          <w:color w:val="000000"/>
          <w:kern w:val="0"/>
          <w:sz w:val="28"/>
          <w:szCs w:val="28"/>
        </w:rPr>
        <w:t>研究生：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中国语言文学系：中国语言文学系一楼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历史学系：历史学系一楼大厅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哲学系：哲学系一楼大厅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政治学系：法商北楼125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马克思主义学院：法商北楼二楼225会议室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法学院：法学院一楼大厅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社会发展学院：法商北楼425会议室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外语学院：外语楼333教室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体育与健康学院：体育馆二楼报告厅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传播学院：传播楼大厅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音乐学院：音乐学院</w:t>
      </w:r>
      <w:r>
        <w:rPr>
          <w:rFonts w:ascii="仿宋" w:cs="宋体" w:eastAsia="仿宋" w:hAnsi="仿宋" w:hint="default"/>
          <w:color w:val="000000"/>
          <w:kern w:val="0"/>
          <w:sz w:val="28"/>
          <w:szCs w:val="28"/>
          <w:lang w:val="en-US"/>
        </w:rPr>
        <w:t>350</w:t>
      </w: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室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美术学院：美术学院一楼大厅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数学科学学院：数学楼一楼大厅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物理与电子科学学院：物理楼二楼大厅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化学与分子工程学院：化学楼大厅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地理科学学院：河口海岸大楼一楼大厅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城市与区域科学学院：资环楼一楼大厅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生态与环境科学学院：资环楼一楼大厅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河口海岸科学研究院：河口海岸大楼一楼大厅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生命科学学院：生命科学学院一楼大厅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 w:hint="eastAsia"/>
          <w:kern w:val="0"/>
          <w:sz w:val="28"/>
          <w:szCs w:val="28"/>
        </w:rPr>
      </w:pPr>
      <w:r>
        <w:rPr>
          <w:rFonts w:ascii="仿宋" w:cs="宋体" w:eastAsia="仿宋" w:hAnsi="仿宋" w:hint="eastAsia"/>
          <w:kern w:val="0"/>
          <w:sz w:val="28"/>
          <w:szCs w:val="28"/>
        </w:rPr>
        <w:t>通信与电子工程学院：通信与电子工程学院一楼大厅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思勉人文高等研究院：人文学院3号楼3229室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精密光谱科学与技术国家重点实验室：光学大楼一楼大厅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</w:p>
    <w:p>
      <w:pPr>
        <w:pStyle w:val="style0"/>
        <w:widowControl/>
        <w:snapToGrid w:val="false"/>
        <w:spacing w:lineRule="auto" w:line="360"/>
        <w:ind w:firstLine="562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黑体" w:cs="宋体" w:eastAsia="黑体" w:hAnsi="黑体" w:hint="eastAsia"/>
          <w:b/>
          <w:color w:val="000000"/>
          <w:kern w:val="0"/>
          <w:sz w:val="28"/>
          <w:szCs w:val="28"/>
        </w:rPr>
        <w:t>二、中山北路校区迎新地点安排</w:t>
      </w:r>
    </w:p>
    <w:p>
      <w:pPr>
        <w:pStyle w:val="style0"/>
        <w:widowControl/>
        <w:snapToGrid w:val="false"/>
        <w:spacing w:lineRule="auto" w:line="360"/>
        <w:ind w:firstLine="562" w:firstLineChars="200"/>
        <w:rPr>
          <w:rFonts w:ascii="黑体" w:cs="宋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cs="宋体" w:eastAsia="黑体" w:hAnsi="黑体" w:hint="eastAsia"/>
          <w:b/>
          <w:color w:val="000000"/>
          <w:kern w:val="0"/>
          <w:sz w:val="28"/>
          <w:szCs w:val="28"/>
        </w:rPr>
        <w:t>本科生、研究生：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国际汉语文化学院：国际汉语文化学院办公楼201室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教育学部：文科大楼一楼大厅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教师教育学院：教师教育学院楼一楼会议室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心理与认知科学学院 ：俊秀楼大厅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经济与管理学部（经管书院）：学术学位研究生、本科生</w:t>
      </w:r>
      <w:r>
        <w:rPr>
          <w:rFonts w:ascii="仿宋" w:cs="宋体" w:eastAsia="仿宋" w:hAnsi="仿宋" w:hint="eastAsia"/>
          <w:color w:val="000000"/>
          <w:kern w:val="0"/>
          <w:sz w:val="28"/>
          <w:szCs w:val="28"/>
          <w:lang w:eastAsia="zh-CN"/>
        </w:rPr>
        <w:t>：</w:t>
      </w: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理科大楼一楼；专业学位研究生</w:t>
      </w:r>
      <w:r>
        <w:rPr>
          <w:rFonts w:ascii="仿宋" w:cs="宋体" w:eastAsia="仿宋" w:hAnsi="仿宋" w:hint="eastAsia"/>
          <w:color w:val="000000"/>
          <w:kern w:val="0"/>
          <w:sz w:val="28"/>
          <w:szCs w:val="28"/>
          <w:lang w:eastAsia="zh-CN"/>
        </w:rPr>
        <w:t>：</w:t>
      </w: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电教楼一楼大厅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设计学院：时尚中心大厅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物理与电子科学学院：理科大楼A座一楼大厅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化学与分子工程学院：理科大楼B座1409室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生命科学学院：脑功能基因组学研究所一楼大厅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计算机科学与技术学院：理科大楼B座二楼及五楼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软件工程学院：理科大楼B座二楼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数据科学与工程学院：数学馆一楼大厅</w:t>
      </w:r>
    </w:p>
    <w:p>
      <w:pPr>
        <w:pStyle w:val="style0"/>
        <w:widowControl/>
        <w:snapToGrid w:val="false"/>
        <w:spacing w:lineRule="auto" w:line="360"/>
        <w:ind w:firstLine="560" w:firstLineChars="200"/>
        <w:rPr>
          <w:rFonts w:ascii="仿宋" w:cs="宋体" w:eastAsia="仿宋" w:hAnsi="仿宋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国际关系与地区发展研究院：理科大楼A座4</w:t>
      </w:r>
      <w:r>
        <w:rPr>
          <w:rFonts w:ascii="仿宋" w:cs="宋体" w:eastAsia="仿宋" w:hAnsi="仿宋"/>
          <w:color w:val="000000"/>
          <w:kern w:val="0"/>
          <w:sz w:val="28"/>
          <w:szCs w:val="28"/>
        </w:rPr>
        <w:t>06</w:t>
      </w: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>室前大厅</w:t>
      </w:r>
    </w:p>
    <w:p>
      <w:pPr>
        <w:pStyle w:val="style0"/>
        <w:widowControl/>
        <w:wordWrap w:val="false"/>
        <w:snapToGrid w:val="false"/>
        <w:spacing w:lineRule="auto" w:line="360"/>
        <w:jc w:val="right"/>
        <w:rPr>
          <w:rFonts w:ascii="仿宋" w:cs="宋体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cs="宋体" w:eastAsia="仿宋" w:hAnsi="仿宋" w:hint="eastAsia"/>
          <w:color w:val="000000"/>
          <w:kern w:val="0"/>
          <w:sz w:val="28"/>
          <w:szCs w:val="28"/>
        </w:rPr>
        <w:t xml:space="preserve"> </w:t>
      </w: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rFonts w:hint="eastAsia"/>
      </w:rPr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lang w:val="zh-CN"/>
      </w:rPr>
      <w:t>2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8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Times New Roman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Times New Roman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099"/>
    <w:uiPriority w:val="99"/>
    <w:pPr>
      <w:jc w:val="left"/>
    </w:pPr>
    <w:rPr/>
  </w:style>
  <w:style w:type="paragraph" w:styleId="style153">
    <w:name w:val="Balloon Text"/>
    <w:basedOn w:val="style0"/>
    <w:next w:val="style153"/>
    <w:link w:val="style4101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100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06">
    <w:name w:val="annotation subject"/>
    <w:basedOn w:val="style30"/>
    <w:next w:val="style30"/>
    <w:link w:val="style4097"/>
    <w:qFormat/>
    <w:uiPriority w:val="99"/>
    <w:pPr/>
    <w:rPr>
      <w:b/>
      <w:bCs/>
    </w:rPr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39">
    <w:name w:val="annotation reference"/>
    <w:next w:val="style39"/>
    <w:uiPriority w:val="99"/>
    <w:rPr>
      <w:sz w:val="21"/>
      <w:szCs w:val="21"/>
    </w:rPr>
  </w:style>
  <w:style w:type="character" w:customStyle="1" w:styleId="style4097">
    <w:name w:val="批注主题 字符"/>
    <w:next w:val="style4097"/>
    <w:link w:val="style106"/>
    <w:qFormat/>
    <w:uiPriority w:val="99"/>
    <w:rPr>
      <w:b/>
      <w:bCs/>
      <w:kern w:val="2"/>
      <w:sz w:val="21"/>
      <w:szCs w:val="22"/>
    </w:rPr>
  </w:style>
  <w:style w:type="character" w:customStyle="1" w:styleId="style4098">
    <w:name w:val="页眉 字符"/>
    <w:next w:val="style4098"/>
    <w:link w:val="style31"/>
    <w:qFormat/>
    <w:uiPriority w:val="99"/>
    <w:rPr>
      <w:kern w:val="2"/>
      <w:sz w:val="18"/>
      <w:szCs w:val="18"/>
    </w:rPr>
  </w:style>
  <w:style w:type="character" w:customStyle="1" w:styleId="style4099">
    <w:name w:val="批注文字 字符"/>
    <w:next w:val="style4099"/>
    <w:link w:val="style30"/>
    <w:qFormat/>
    <w:uiPriority w:val="99"/>
    <w:rPr>
      <w:kern w:val="2"/>
      <w:sz w:val="21"/>
      <w:szCs w:val="22"/>
    </w:rPr>
  </w:style>
  <w:style w:type="character" w:customStyle="1" w:styleId="style4100">
    <w:name w:val="页脚 字符"/>
    <w:next w:val="style4100"/>
    <w:link w:val="style32"/>
    <w:qFormat/>
    <w:uiPriority w:val="99"/>
    <w:rPr>
      <w:kern w:val="2"/>
      <w:sz w:val="18"/>
      <w:szCs w:val="18"/>
    </w:rPr>
  </w:style>
  <w:style w:type="character" w:customStyle="1" w:styleId="style4101">
    <w:name w:val="批注框文本 字符"/>
    <w:next w:val="style4101"/>
    <w:link w:val="style153"/>
    <w:qFormat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1114</Words>
  <Pages>3</Pages>
  <Characters>1142</Characters>
  <Application>WPS Office</Application>
  <DocSecurity>0</DocSecurity>
  <Paragraphs>58</Paragraphs>
  <ScaleCrop>false</ScaleCrop>
  <LinksUpToDate>false</LinksUpToDate>
  <CharactersWithSpaces>1144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2020-08-31T14:43:00Z</dcterms:created>
  <dc:creator>user</dc:creator>
  <lastModifiedBy>PCT-AL10</lastModifiedBy>
  <lastPrinted>2019-08-20T00:51:00Z</lastPrinted>
  <dcterms:modified xsi:type="dcterms:W3CDTF">2021-08-26T08:51:53Z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9405dadc93ab490db6cfeb7c79cb1193</vt:lpwstr>
  </property>
</Properties>
</file>